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26EF0" w:rsidRPr="00631C2A" w:rsidP="00631C2A" w14:paraId="398D6CE4" w14:textId="5A581820">
      <w:pPr>
        <w:pStyle w:val="BodyText"/>
        <w:bidi w:val="0"/>
        <w:spacing w:before="22"/>
        <w:ind w:left="0"/>
        <w:rPr>
          <w:b/>
          <w:bCs/>
          <w:sz w:val="32"/>
          <w:szCs w:val="32"/>
        </w:rPr>
      </w:pPr>
      <w:r w:rsidRPr="00631C2A">
        <w:rPr>
          <w:b/>
          <w:bCs/>
          <w:sz w:val="32"/>
          <w:szCs w:val="32"/>
          <w:rtl w:val="0"/>
          <w:lang w:val="pt-BR"/>
        </w:rPr>
        <w:t xml:space="preserve">Resposta do PCN/Federações de Southwark ao Relatório de Acesso à América Latina da Healthwatch </w:t>
      </w:r>
    </w:p>
    <w:p w:rsidR="002A48FA" w14:paraId="3E989BD8" w14:textId="77777777">
      <w:pPr>
        <w:pStyle w:val="BodyText"/>
        <w:spacing w:before="22"/>
        <w:ind w:left="0"/>
        <w:rPr>
          <w:sz w:val="20"/>
        </w:rPr>
      </w:pPr>
    </w:p>
    <w:p w:rsidR="002A48FA" w14:paraId="24C382A2" w14:textId="77777777">
      <w:pPr>
        <w:pStyle w:val="BodyText"/>
        <w:spacing w:before="22"/>
        <w:ind w:left="0"/>
        <w:rPr>
          <w:sz w:val="20"/>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4779"/>
        <w:gridCol w:w="9497"/>
      </w:tblGrid>
      <w:tr w14:paraId="398D6CEA" w14:textId="77777777" w:rsidTr="00631C2A">
        <w:tblPrEx>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2"/>
        </w:trPr>
        <w:tc>
          <w:tcPr>
            <w:tcW w:w="636" w:type="dxa"/>
          </w:tcPr>
          <w:p w:rsidR="006E0217" w:rsidP="00631C2A" w14:paraId="398D6CE5" w14:textId="5291370E">
            <w:pPr>
              <w:pStyle w:val="TableParagraph"/>
              <w:spacing w:before="120" w:after="120"/>
              <w:ind w:left="112"/>
              <w:rPr>
                <w:b/>
              </w:rPr>
            </w:pPr>
          </w:p>
        </w:tc>
        <w:tc>
          <w:tcPr>
            <w:tcW w:w="4779" w:type="dxa"/>
          </w:tcPr>
          <w:p w:rsidR="006E0217" w:rsidRPr="00631C2A" w:rsidP="00631C2A" w14:paraId="398D6CE6" w14:textId="77777777">
            <w:pPr>
              <w:pStyle w:val="TableParagraph"/>
              <w:bidi w:val="0"/>
              <w:spacing w:before="120" w:after="120"/>
              <w:ind w:left="113"/>
              <w:rPr>
                <w:b/>
                <w:sz w:val="24"/>
                <w:szCs w:val="24"/>
              </w:rPr>
            </w:pPr>
            <w:r w:rsidRPr="00631C2A">
              <w:rPr>
                <w:b/>
                <w:spacing w:val="-2"/>
                <w:sz w:val="24"/>
                <w:szCs w:val="24"/>
                <w:rtl w:val="0"/>
                <w:lang w:val="pt-BR"/>
              </w:rPr>
              <w:t>Recomendação da Healthwatch</w:t>
            </w:r>
          </w:p>
        </w:tc>
        <w:tc>
          <w:tcPr>
            <w:tcW w:w="9497" w:type="dxa"/>
          </w:tcPr>
          <w:p w:rsidR="006E0217" w:rsidRPr="00631C2A" w:rsidP="00631C2A" w14:paraId="398D6CE7" w14:textId="54DE48C3">
            <w:pPr>
              <w:pStyle w:val="TableParagraph"/>
              <w:bidi w:val="0"/>
              <w:spacing w:before="120" w:after="120"/>
              <w:ind w:left="113" w:right="185"/>
              <w:rPr>
                <w:b/>
                <w:sz w:val="24"/>
                <w:szCs w:val="24"/>
              </w:rPr>
            </w:pPr>
            <w:r w:rsidRPr="00631C2A">
              <w:rPr>
                <w:b/>
                <w:sz w:val="24"/>
                <w:szCs w:val="24"/>
                <w:rtl w:val="0"/>
                <w:lang w:val="pt-BR"/>
              </w:rPr>
              <w:t>Resposta do PCN/Federação</w:t>
            </w:r>
          </w:p>
        </w:tc>
      </w:tr>
      <w:tr w14:paraId="398D6D03" w14:textId="77777777" w:rsidTr="00631C2A">
        <w:tblPrEx>
          <w:tblW w:w="0" w:type="auto"/>
          <w:tblInd w:w="119" w:type="dxa"/>
          <w:tblLayout w:type="fixed"/>
          <w:tblCellMar>
            <w:left w:w="0" w:type="dxa"/>
            <w:right w:w="0" w:type="dxa"/>
          </w:tblCellMar>
          <w:tblLook w:val="01E0"/>
        </w:tblPrEx>
        <w:trPr>
          <w:trHeight w:val="4524"/>
        </w:trPr>
        <w:tc>
          <w:tcPr>
            <w:tcW w:w="636" w:type="dxa"/>
          </w:tcPr>
          <w:p w:rsidR="006E0217" w:rsidRPr="00C860FA" w:rsidP="00631C2A" w14:paraId="398D6CEB" w14:textId="77777777">
            <w:pPr>
              <w:pStyle w:val="TableParagraph"/>
              <w:bidi w:val="0"/>
              <w:ind w:left="112"/>
              <w:rPr>
                <w:sz w:val="24"/>
                <w:szCs w:val="24"/>
              </w:rPr>
            </w:pPr>
            <w:r w:rsidRPr="00C860FA">
              <w:rPr>
                <w:spacing w:val="-10"/>
                <w:sz w:val="24"/>
                <w:szCs w:val="24"/>
                <w:rtl w:val="0"/>
                <w:lang w:val="pt-BR"/>
              </w:rPr>
              <w:t>1</w:t>
            </w:r>
          </w:p>
        </w:tc>
        <w:tc>
          <w:tcPr>
            <w:tcW w:w="4779" w:type="dxa"/>
          </w:tcPr>
          <w:p w:rsidR="006E0217" w:rsidRPr="00C860FA" w:rsidP="00631C2A" w14:paraId="398D6CEC" w14:textId="77777777">
            <w:pPr>
              <w:pStyle w:val="TableParagraph"/>
              <w:bidi w:val="0"/>
              <w:ind w:left="113" w:right="197"/>
              <w:rPr>
                <w:sz w:val="24"/>
                <w:szCs w:val="24"/>
              </w:rPr>
            </w:pPr>
            <w:r w:rsidRPr="00C860FA">
              <w:rPr>
                <w:sz w:val="24"/>
                <w:szCs w:val="24"/>
                <w:rtl w:val="0"/>
                <w:lang w:val="pt-BR"/>
              </w:rPr>
              <w:t>Fornecer informações sobre serviços de saúde e assistência social em espanhol e português on-line, na mídia comunitária e em cópias impressas divulgadas em espaços frequentados por comunidades latino-americanas.</w:t>
            </w:r>
          </w:p>
        </w:tc>
        <w:tc>
          <w:tcPr>
            <w:tcW w:w="9497" w:type="dxa"/>
          </w:tcPr>
          <w:p w:rsidR="00631C2A" w:rsidP="00631C2A" w14:paraId="43F6DB86" w14:textId="77777777">
            <w:pPr>
              <w:pStyle w:val="TableParagraph"/>
              <w:bidi w:val="0"/>
              <w:ind w:left="113" w:right="185"/>
              <w:rPr>
                <w:sz w:val="24"/>
                <w:szCs w:val="24"/>
              </w:rPr>
            </w:pPr>
            <w:r>
              <w:rPr>
                <w:sz w:val="24"/>
                <w:szCs w:val="24"/>
                <w:rtl w:val="0"/>
                <w:lang w:val="pt-BR"/>
              </w:rPr>
              <w:t xml:space="preserve">Os PCNs e federações de Southwark trabalharão em parceria com colegas de comissionamento para atender a essa recomendação. </w:t>
            </w:r>
          </w:p>
          <w:p w:rsidR="00631C2A" w:rsidP="00631C2A" w14:paraId="5984D927" w14:textId="77777777">
            <w:pPr>
              <w:pStyle w:val="TableParagraph"/>
              <w:ind w:left="113" w:right="185"/>
              <w:rPr>
                <w:sz w:val="24"/>
                <w:szCs w:val="24"/>
              </w:rPr>
            </w:pPr>
          </w:p>
          <w:p w:rsidR="006E0217" w:rsidRPr="00C860FA" w:rsidP="00631C2A" w14:paraId="398D6CED" w14:textId="597C3BC5">
            <w:pPr>
              <w:pStyle w:val="TableParagraph"/>
              <w:bidi w:val="0"/>
              <w:ind w:left="113" w:right="185"/>
              <w:rPr>
                <w:sz w:val="24"/>
                <w:szCs w:val="24"/>
              </w:rPr>
            </w:pPr>
            <w:r w:rsidRPr="00C860FA">
              <w:rPr>
                <w:sz w:val="24"/>
                <w:szCs w:val="24"/>
                <w:rtl w:val="0"/>
                <w:lang w:val="pt-BR"/>
              </w:rPr>
              <w:t>O site do NHS South East London tem uma ferramenta de tradução que pode traduzir todas as informações em seu site para diferentes idiomas, incluindo espanhol e português, e tem um link para nossos serviços de suporte a idiomas. Estamos investigando como isso pode ser aplicado aos sites do PCN/Federação.</w:t>
            </w:r>
          </w:p>
          <w:p w:rsidR="006E0217" w:rsidRPr="00C860FA" w:rsidP="00631C2A" w14:paraId="398D6CEE" w14:textId="77777777">
            <w:pPr>
              <w:pStyle w:val="TableParagraph"/>
              <w:rPr>
                <w:sz w:val="24"/>
                <w:szCs w:val="24"/>
              </w:rPr>
            </w:pPr>
          </w:p>
          <w:p w:rsidR="006E0217" w:rsidRPr="00C860FA" w:rsidP="00631C2A" w14:paraId="6F7F0927" w14:textId="405DD5B1">
            <w:pPr>
              <w:pStyle w:val="TableParagraph"/>
              <w:bidi w:val="0"/>
              <w:ind w:left="113" w:right="185"/>
              <w:rPr>
                <w:sz w:val="24"/>
                <w:szCs w:val="24"/>
              </w:rPr>
            </w:pPr>
            <w:r w:rsidRPr="00C860FA">
              <w:rPr>
                <w:sz w:val="24"/>
                <w:szCs w:val="24"/>
                <w:rtl w:val="0"/>
                <w:lang w:val="pt-BR"/>
              </w:rPr>
              <w:t>Trabalharemos com os colegas de comunicação e engajamento do ICB para produzir um folheto informativo em espanhol e português para explicar como funciona o sistema de saúde inglês. Esse trabalho se baseará no trabalho realizado na campanha "use o serviço certo" em nível nacional e será desenvolvido no sudeste de Londres. As informações serão elaboradas para ajudar as pessoas das comunidades de língua espanhola e portuguesa a acessar o sistema de saúde em Southwark de forma oportuna, eficaz e equitativa.</w:t>
            </w:r>
          </w:p>
          <w:p w:rsidR="006E0217" w:rsidRPr="00C860FA" w:rsidP="00631C2A" w14:paraId="4804DBA8" w14:textId="77777777">
            <w:pPr>
              <w:pStyle w:val="TableParagraph"/>
              <w:ind w:left="113" w:right="185"/>
              <w:rPr>
                <w:sz w:val="24"/>
                <w:szCs w:val="24"/>
              </w:rPr>
            </w:pPr>
          </w:p>
          <w:p w:rsidR="006E0217" w:rsidRPr="00C860FA" w:rsidP="00631C2A" w14:paraId="398D6CEF" w14:textId="097C28ED">
            <w:pPr>
              <w:pStyle w:val="TableParagraph"/>
              <w:bidi w:val="0"/>
              <w:ind w:left="113" w:right="185"/>
              <w:rPr>
                <w:sz w:val="24"/>
                <w:szCs w:val="24"/>
              </w:rPr>
            </w:pPr>
            <w:r w:rsidRPr="00C860FA">
              <w:rPr>
                <w:sz w:val="24"/>
                <w:szCs w:val="24"/>
                <w:rtl w:val="0"/>
                <w:lang w:val="pt-BR"/>
              </w:rPr>
              <w:t xml:space="preserve">Apoiaremos a disseminação dessas informações para exibição em nossos consultórios membros </w:t>
            </w:r>
          </w:p>
        </w:tc>
      </w:tr>
      <w:tr w14:paraId="398D6D0E" w14:textId="77777777" w:rsidTr="00631C2A">
        <w:tblPrEx>
          <w:tblW w:w="0" w:type="auto"/>
          <w:tblInd w:w="119" w:type="dxa"/>
          <w:tblLayout w:type="fixed"/>
          <w:tblCellMar>
            <w:left w:w="0" w:type="dxa"/>
            <w:right w:w="0" w:type="dxa"/>
          </w:tblCellMar>
          <w:tblLook w:val="01E0"/>
        </w:tblPrEx>
        <w:trPr>
          <w:trHeight w:val="3109"/>
        </w:trPr>
        <w:tc>
          <w:tcPr>
            <w:tcW w:w="636" w:type="dxa"/>
          </w:tcPr>
          <w:p w:rsidR="006E0217" w:rsidRPr="00C860FA" w:rsidP="00631C2A" w14:paraId="398D6D04" w14:textId="77777777">
            <w:pPr>
              <w:pStyle w:val="TableParagraph"/>
              <w:bidi w:val="0"/>
              <w:ind w:left="112"/>
              <w:rPr>
                <w:sz w:val="24"/>
                <w:szCs w:val="24"/>
              </w:rPr>
            </w:pPr>
            <w:r w:rsidRPr="00C860FA">
              <w:rPr>
                <w:spacing w:val="-10"/>
                <w:sz w:val="24"/>
                <w:szCs w:val="24"/>
                <w:rtl w:val="0"/>
                <w:lang w:val="pt-BR"/>
              </w:rPr>
              <w:t>2</w:t>
            </w:r>
          </w:p>
        </w:tc>
        <w:tc>
          <w:tcPr>
            <w:tcW w:w="4779" w:type="dxa"/>
          </w:tcPr>
          <w:p w:rsidR="006E0217" w:rsidRPr="00C860FA" w:rsidP="00631C2A" w14:paraId="398D6D05" w14:textId="77777777">
            <w:pPr>
              <w:pStyle w:val="TableParagraph"/>
              <w:bidi w:val="0"/>
              <w:ind w:left="113" w:right="197"/>
              <w:rPr>
                <w:sz w:val="24"/>
                <w:szCs w:val="24"/>
              </w:rPr>
            </w:pPr>
            <w:r w:rsidRPr="00C860FA">
              <w:rPr>
                <w:sz w:val="24"/>
                <w:szCs w:val="24"/>
                <w:rtl w:val="0"/>
                <w:lang w:val="pt-BR"/>
              </w:rPr>
              <w:t>Melhorar a acessibilidade dos intérpretes. Recrutar mais funcionários que falem espanhol sempre que possível, pois os entrevistados especificaram que querem poder se comunicar diretamente com os prestadores de serviços de saúde. Os serviços de atendimento primário devem refletir as comunidades locais e a equipe que fala espanhol deve estar disponível no local.</w:t>
            </w:r>
          </w:p>
        </w:tc>
        <w:tc>
          <w:tcPr>
            <w:tcW w:w="9497" w:type="dxa"/>
          </w:tcPr>
          <w:p w:rsidR="006E0217" w:rsidRPr="00C860FA" w:rsidP="00631C2A" w14:paraId="398D6D06" w14:textId="65526921">
            <w:pPr>
              <w:pStyle w:val="TableParagraph"/>
              <w:bidi w:val="0"/>
              <w:ind w:left="113" w:right="185"/>
              <w:rPr>
                <w:sz w:val="24"/>
                <w:szCs w:val="24"/>
              </w:rPr>
            </w:pPr>
            <w:r w:rsidRPr="00C860FA">
              <w:rPr>
                <w:sz w:val="24"/>
                <w:szCs w:val="24"/>
                <w:rtl w:val="0"/>
                <w:lang w:val="pt-BR"/>
              </w:rPr>
              <w:t>Isso é apoiado pelo ICB, que trabalha com a atenção primária e contratou a DA Languages para fornecer serviços de tradução até abril de 2025.</w:t>
            </w:r>
          </w:p>
          <w:p w:rsidR="006E0217" w:rsidRPr="00C860FA" w:rsidP="00631C2A" w14:paraId="398D6D07" w14:textId="77777777">
            <w:pPr>
              <w:pStyle w:val="TableParagraph"/>
              <w:rPr>
                <w:sz w:val="24"/>
                <w:szCs w:val="24"/>
              </w:rPr>
            </w:pPr>
          </w:p>
          <w:p w:rsidR="006E0217" w:rsidRPr="00C860FA" w:rsidP="00631C2A" w14:paraId="398D6D0A" w14:textId="5EA67601">
            <w:pPr>
              <w:pStyle w:val="TableParagraph"/>
              <w:bidi w:val="0"/>
              <w:ind w:left="113" w:right="218"/>
              <w:rPr>
                <w:spacing w:val="-5"/>
                <w:sz w:val="24"/>
                <w:szCs w:val="24"/>
              </w:rPr>
            </w:pPr>
            <w:r w:rsidRPr="00C860FA">
              <w:rPr>
                <w:sz w:val="24"/>
                <w:szCs w:val="24"/>
                <w:rtl w:val="0"/>
                <w:lang w:val="pt-BR"/>
              </w:rPr>
              <w:t xml:space="preserve">Os colegas de comissionamento estão se envolvendo com residentes, usuários de serviços e funcionários para nos ajudar a projetar o serviço e, em seguida, selecionar o futuro provedor mais adequado e eficaz. </w:t>
            </w:r>
          </w:p>
          <w:p w:rsidR="006E0217" w:rsidRPr="00C860FA" w:rsidP="00631C2A" w14:paraId="40409C9F" w14:textId="77777777">
            <w:pPr>
              <w:pStyle w:val="TableParagraph"/>
              <w:ind w:left="113" w:right="218"/>
              <w:rPr>
                <w:spacing w:val="-5"/>
                <w:sz w:val="24"/>
                <w:szCs w:val="24"/>
              </w:rPr>
            </w:pPr>
          </w:p>
          <w:p w:rsidR="006E0217" w:rsidRPr="00C860FA" w:rsidP="00631C2A" w14:paraId="398D6D0B" w14:textId="1D0EC450">
            <w:pPr>
              <w:pStyle w:val="TableParagraph"/>
              <w:bidi w:val="0"/>
              <w:ind w:left="113" w:right="218"/>
              <w:rPr>
                <w:sz w:val="24"/>
                <w:szCs w:val="24"/>
              </w:rPr>
            </w:pPr>
            <w:r w:rsidRPr="006E0217">
              <w:rPr>
                <w:spacing w:val="-5"/>
                <w:sz w:val="24"/>
                <w:szCs w:val="24"/>
                <w:rtl w:val="0"/>
                <w:lang w:val="pt-BR"/>
              </w:rPr>
              <w:t>Os PCNs e as federações destacarão a importância da representação da comunidade da força de trabalho para as práticas de nossos membros e garantirão que esse seja um item da agenda em nossas reuniões de membros e vizinhança.</w:t>
            </w:r>
          </w:p>
        </w:tc>
      </w:tr>
    </w:tbl>
    <w:p w:rsidR="00726EF0" w:rsidRPr="00C860FA" w:rsidP="00631C2A" w14:paraId="398D6D0F" w14:textId="77777777">
      <w:pPr>
        <w:rPr>
          <w:sz w:val="24"/>
          <w:szCs w:val="24"/>
        </w:rPr>
        <w:sectPr w:rsidSect="00631C2A">
          <w:pgSz w:w="16850" w:h="11920" w:orient="landscape"/>
          <w:pgMar w:top="1134" w:right="851" w:bottom="851" w:left="851"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23"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50"/>
        </w:trPr>
        <w:tc>
          <w:tcPr>
            <w:tcW w:w="639" w:type="dxa"/>
          </w:tcPr>
          <w:p w:rsidR="007802EB" w:rsidRPr="00C860FA" w:rsidP="00631C2A" w14:paraId="398D6D17" w14:textId="77777777">
            <w:pPr>
              <w:pStyle w:val="TableParagraph"/>
              <w:bidi w:val="0"/>
              <w:ind w:left="114"/>
              <w:rPr>
                <w:sz w:val="24"/>
                <w:szCs w:val="24"/>
              </w:rPr>
            </w:pPr>
            <w:r w:rsidRPr="00C860FA">
              <w:rPr>
                <w:spacing w:val="-10"/>
                <w:sz w:val="24"/>
                <w:szCs w:val="24"/>
                <w:rtl w:val="0"/>
                <w:lang w:val="pt-BR"/>
              </w:rPr>
              <w:t>3</w:t>
            </w:r>
          </w:p>
        </w:tc>
        <w:tc>
          <w:tcPr>
            <w:tcW w:w="4777" w:type="dxa"/>
          </w:tcPr>
          <w:p w:rsidR="007802EB" w:rsidRPr="00C860FA" w:rsidP="00631C2A" w14:paraId="398D6D18" w14:textId="761D5A2E">
            <w:pPr>
              <w:pStyle w:val="TableParagraph"/>
              <w:bidi w:val="0"/>
              <w:ind w:left="112" w:right="84"/>
              <w:rPr>
                <w:sz w:val="24"/>
                <w:szCs w:val="24"/>
              </w:rPr>
            </w:pPr>
            <w:r w:rsidRPr="00C860FA">
              <w:rPr>
                <w:sz w:val="24"/>
                <w:szCs w:val="24"/>
                <w:rtl w:val="0"/>
                <w:lang w:val="pt-BR"/>
              </w:rPr>
              <w:t>Fornecer informações sobre os direitos dos migrantes à saúde e à assistência social em espanhol e português. Coordenar com organizações comunitárias latino-americanas e com a Sede a divulgação dessas informações.</w:t>
            </w:r>
          </w:p>
        </w:tc>
        <w:tc>
          <w:tcPr>
            <w:tcW w:w="9497" w:type="dxa"/>
          </w:tcPr>
          <w:p w:rsidR="009D4959" w:rsidRPr="00C860FA" w:rsidP="00631C2A" w14:paraId="3E4E4525" w14:textId="77777777">
            <w:pPr>
              <w:pStyle w:val="TableParagraph"/>
              <w:bidi w:val="0"/>
              <w:ind w:left="111" w:right="124"/>
              <w:rPr>
                <w:sz w:val="24"/>
                <w:szCs w:val="24"/>
              </w:rPr>
            </w:pPr>
            <w:r w:rsidRPr="00C860FA">
              <w:rPr>
                <w:sz w:val="24"/>
                <w:szCs w:val="24"/>
                <w:rtl w:val="0"/>
                <w:lang w:val="pt-BR"/>
              </w:rPr>
              <w:t>Destacamos a importância de os consultórios médicos de Southwark se inscreverem para se tornarem Safe Surgeries.</w:t>
            </w:r>
          </w:p>
          <w:p w:rsidR="009D4959" w:rsidRPr="00C860FA" w:rsidP="00631C2A" w14:paraId="4AEACF62" w14:textId="77777777">
            <w:pPr>
              <w:pStyle w:val="TableParagraph"/>
              <w:ind w:left="111" w:right="124"/>
              <w:rPr>
                <w:sz w:val="24"/>
                <w:szCs w:val="24"/>
              </w:rPr>
            </w:pPr>
          </w:p>
          <w:p w:rsidR="007802EB" w:rsidRPr="00C860FA" w:rsidP="00631C2A" w14:paraId="398D6D20" w14:textId="0E0DD707">
            <w:pPr>
              <w:pStyle w:val="TableParagraph"/>
              <w:bidi w:val="0"/>
              <w:ind w:left="111" w:right="124"/>
              <w:rPr>
                <w:sz w:val="24"/>
                <w:szCs w:val="24"/>
              </w:rPr>
            </w:pPr>
            <w:r w:rsidRPr="00C860FA">
              <w:rPr>
                <w:sz w:val="24"/>
                <w:szCs w:val="24"/>
                <w:rtl w:val="0"/>
                <w:lang w:val="pt-BR"/>
              </w:rPr>
              <w:t>Todos têm o direito de receber atendimento gratuito de um clínico geral.</w:t>
            </w:r>
          </w:p>
        </w:tc>
      </w:tr>
    </w:tbl>
    <w:p w:rsidR="00726EF0" w:rsidRPr="00C860FA" w:rsidP="00631C2A" w14:paraId="398D6D24" w14:textId="77777777">
      <w:pPr>
        <w:rPr>
          <w:sz w:val="24"/>
          <w:szCs w:val="24"/>
        </w:rPr>
        <w:sectPr w:rsidSect="00631C2A">
          <w:headerReference w:type="default" r:id="rId4"/>
          <w:footerReference w:type="default" r:id="rId5"/>
          <w:pgSz w:w="16840" w:h="11910" w:orient="landscape"/>
          <w:pgMar w:top="1134" w:right="851" w:bottom="851" w:left="851" w:header="272" w:footer="1322" w:gutter="0"/>
          <w:pgNumType w:start="3"/>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33"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93"/>
        </w:trPr>
        <w:tc>
          <w:tcPr>
            <w:tcW w:w="639" w:type="dxa"/>
          </w:tcPr>
          <w:p w:rsidR="001379E6" w:rsidRPr="00C860FA" w:rsidP="00631C2A" w14:paraId="398D6D2D" w14:textId="77777777">
            <w:pPr>
              <w:pStyle w:val="TableParagraph"/>
              <w:bidi w:val="0"/>
              <w:ind w:left="114"/>
              <w:rPr>
                <w:sz w:val="24"/>
                <w:szCs w:val="24"/>
              </w:rPr>
            </w:pPr>
            <w:r w:rsidRPr="00C860FA">
              <w:rPr>
                <w:spacing w:val="-10"/>
                <w:sz w:val="24"/>
                <w:szCs w:val="24"/>
                <w:rtl w:val="0"/>
                <w:lang w:val="pt-BR"/>
              </w:rPr>
              <w:t>4</w:t>
            </w:r>
          </w:p>
        </w:tc>
        <w:tc>
          <w:tcPr>
            <w:tcW w:w="4777" w:type="dxa"/>
          </w:tcPr>
          <w:p w:rsidR="001379E6" w:rsidRPr="00C860FA" w:rsidP="00631C2A" w14:paraId="398D6D2E" w14:textId="77777777">
            <w:pPr>
              <w:pStyle w:val="TableParagraph"/>
              <w:bidi w:val="0"/>
              <w:ind w:left="112" w:right="84"/>
              <w:rPr>
                <w:sz w:val="24"/>
                <w:szCs w:val="24"/>
              </w:rPr>
            </w:pPr>
            <w:r w:rsidRPr="00C860FA">
              <w:rPr>
                <w:sz w:val="24"/>
                <w:szCs w:val="24"/>
                <w:rtl w:val="0"/>
                <w:lang w:val="pt-BR"/>
              </w:rPr>
              <w:t>Reintroduzir comunicações off-line, como cartas postais.</w:t>
            </w:r>
          </w:p>
        </w:tc>
        <w:tc>
          <w:tcPr>
            <w:tcW w:w="9497" w:type="dxa"/>
          </w:tcPr>
          <w:p w:rsidR="001379E6" w:rsidRPr="00C860FA" w:rsidP="00631C2A" w14:paraId="398D6D30" w14:textId="729F612B">
            <w:pPr>
              <w:pStyle w:val="TableParagraph"/>
              <w:bidi w:val="0"/>
              <w:ind w:right="335"/>
              <w:rPr>
                <w:sz w:val="24"/>
                <w:szCs w:val="24"/>
                <w:lang w:val="en-GB"/>
              </w:rPr>
            </w:pPr>
            <w:r w:rsidRPr="001379E6">
              <w:rPr>
                <w:sz w:val="24"/>
                <w:szCs w:val="24"/>
                <w:rtl w:val="0"/>
                <w:lang w:val="pt-BR"/>
              </w:rPr>
              <w:t>As cartas serão usadas para grupos de difícil acesso, além de textos e contato pessoal.</w:t>
            </w:r>
          </w:p>
        </w:tc>
      </w:tr>
      <w:tr w14:paraId="398D6D3A" w14:textId="77777777" w:rsidTr="00631C2A">
        <w:tblPrEx>
          <w:tblW w:w="0" w:type="auto"/>
          <w:tblInd w:w="118" w:type="dxa"/>
          <w:tblLayout w:type="fixed"/>
          <w:tblCellMar>
            <w:left w:w="0" w:type="dxa"/>
            <w:right w:w="0" w:type="dxa"/>
          </w:tblCellMar>
          <w:tblLook w:val="01E0"/>
        </w:tblPrEx>
        <w:trPr>
          <w:trHeight w:val="1723"/>
        </w:trPr>
        <w:tc>
          <w:tcPr>
            <w:tcW w:w="639" w:type="dxa"/>
          </w:tcPr>
          <w:p w:rsidR="001379E6" w:rsidRPr="00C860FA" w:rsidP="00631C2A" w14:paraId="398D6D34" w14:textId="77777777">
            <w:pPr>
              <w:pStyle w:val="TableParagraph"/>
              <w:bidi w:val="0"/>
              <w:ind w:left="114"/>
              <w:rPr>
                <w:sz w:val="24"/>
                <w:szCs w:val="24"/>
              </w:rPr>
            </w:pPr>
            <w:r w:rsidRPr="00C860FA">
              <w:rPr>
                <w:spacing w:val="-10"/>
                <w:sz w:val="24"/>
                <w:szCs w:val="24"/>
                <w:rtl w:val="0"/>
                <w:lang w:val="pt-BR"/>
              </w:rPr>
              <w:t>5</w:t>
            </w:r>
          </w:p>
        </w:tc>
        <w:tc>
          <w:tcPr>
            <w:tcW w:w="4777" w:type="dxa"/>
          </w:tcPr>
          <w:p w:rsidR="001379E6" w:rsidRPr="00C860FA" w:rsidP="00631C2A" w14:paraId="398D6D35" w14:textId="77777777">
            <w:pPr>
              <w:pStyle w:val="TableParagraph"/>
              <w:bidi w:val="0"/>
              <w:ind w:left="112" w:right="84"/>
              <w:rPr>
                <w:sz w:val="24"/>
                <w:szCs w:val="24"/>
              </w:rPr>
            </w:pPr>
            <w:r w:rsidRPr="00C860FA">
              <w:rPr>
                <w:sz w:val="24"/>
                <w:szCs w:val="24"/>
                <w:rtl w:val="0"/>
                <w:lang w:val="pt-BR"/>
              </w:rPr>
              <w:t>Aumentar a disponibilidade de consultas presenciais, especialmente para pacientes com necessidades adicionais.</w:t>
            </w:r>
          </w:p>
        </w:tc>
        <w:tc>
          <w:tcPr>
            <w:tcW w:w="9497" w:type="dxa"/>
          </w:tcPr>
          <w:p w:rsidR="001379E6" w:rsidRPr="00C860FA" w:rsidP="00631C2A" w14:paraId="398D6D36" w14:textId="2AAC95B8">
            <w:pPr>
              <w:pStyle w:val="TableParagraph"/>
              <w:bidi w:val="0"/>
              <w:ind w:left="111" w:right="334"/>
              <w:rPr>
                <w:sz w:val="24"/>
                <w:szCs w:val="24"/>
              </w:rPr>
            </w:pPr>
            <w:r w:rsidRPr="00C860FA">
              <w:rPr>
                <w:sz w:val="24"/>
                <w:szCs w:val="24"/>
                <w:rtl w:val="0"/>
                <w:lang w:val="pt-BR"/>
              </w:rPr>
              <w:t>A clínica geral está fornecendo números recordes de consultas a pacientes, sendo a maioria realizada pessoalmente.</w:t>
            </w:r>
          </w:p>
          <w:p w:rsidR="001379E6" w:rsidRPr="00C860FA" w:rsidP="00631C2A" w14:paraId="181EE62F" w14:textId="77777777">
            <w:pPr>
              <w:pStyle w:val="TableParagraph"/>
              <w:bidi w:val="0"/>
              <w:ind w:left="111" w:right="334"/>
              <w:rPr>
                <w:sz w:val="24"/>
                <w:szCs w:val="24"/>
              </w:rPr>
            </w:pPr>
            <w:r w:rsidRPr="00C860FA">
              <w:rPr>
                <w:sz w:val="24"/>
                <w:szCs w:val="24"/>
                <w:rtl w:val="0"/>
                <w:lang w:val="pt-BR"/>
              </w:rPr>
              <w:t>As redes de atenção primária e os consultórios em Southwark garantem que os pacientes tenham acesso às consultas mais adequadas em tempo hábil</w:t>
            </w:r>
          </w:p>
          <w:p w:rsidR="00E64883" w:rsidRPr="00C860FA" w:rsidP="00631C2A" w14:paraId="398D6D37" w14:textId="6797CA44">
            <w:pPr>
              <w:pStyle w:val="TableParagraph"/>
              <w:bidi w:val="0"/>
              <w:ind w:left="111" w:right="334"/>
              <w:rPr>
                <w:sz w:val="24"/>
                <w:szCs w:val="24"/>
              </w:rPr>
            </w:pPr>
            <w:r w:rsidRPr="00C860FA">
              <w:rPr>
                <w:sz w:val="24"/>
                <w:szCs w:val="24"/>
                <w:rtl w:val="0"/>
                <w:lang w:val="pt-BR"/>
              </w:rPr>
              <w:t>A capacidade é revisada e ajustada de acordo com as necessidades do paciente. Consultas presenciais estão disponíveis quando solicitadas</w:t>
            </w:r>
          </w:p>
        </w:tc>
      </w:tr>
    </w:tbl>
    <w:p w:rsidR="00726EF0" w:rsidRPr="00C860FA" w:rsidP="00631C2A" w14:paraId="398D6D3B" w14:textId="77777777">
      <w:pPr>
        <w:rPr>
          <w:sz w:val="24"/>
          <w:szCs w:val="24"/>
        </w:rPr>
        <w:sectPr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42"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92"/>
        </w:trPr>
        <w:tc>
          <w:tcPr>
            <w:tcW w:w="639" w:type="dxa"/>
          </w:tcPr>
          <w:p w:rsidR="00E64883" w:rsidRPr="00C860FA" w:rsidP="00631C2A" w14:paraId="398D6D3C" w14:textId="77777777">
            <w:pPr>
              <w:pStyle w:val="TableParagraph"/>
              <w:bidi w:val="0"/>
              <w:ind w:left="131"/>
              <w:rPr>
                <w:sz w:val="24"/>
                <w:szCs w:val="24"/>
              </w:rPr>
            </w:pPr>
            <w:r w:rsidRPr="00C860FA">
              <w:rPr>
                <w:spacing w:val="-10"/>
                <w:sz w:val="24"/>
                <w:szCs w:val="24"/>
                <w:rtl w:val="0"/>
                <w:lang w:val="pt-BR"/>
              </w:rPr>
              <w:t>6</w:t>
            </w:r>
          </w:p>
        </w:tc>
        <w:tc>
          <w:tcPr>
            <w:tcW w:w="4777" w:type="dxa"/>
          </w:tcPr>
          <w:p w:rsidR="00E64883" w:rsidRPr="00C860FA" w:rsidP="00631C2A" w14:paraId="398D6D3D" w14:textId="77777777">
            <w:pPr>
              <w:pStyle w:val="TableParagraph"/>
              <w:bidi w:val="0"/>
              <w:ind w:left="113" w:right="85"/>
              <w:rPr>
                <w:sz w:val="24"/>
                <w:szCs w:val="24"/>
              </w:rPr>
            </w:pPr>
            <w:r w:rsidRPr="00C860FA">
              <w:rPr>
                <w:sz w:val="24"/>
                <w:szCs w:val="24"/>
                <w:rtl w:val="0"/>
                <w:lang w:val="pt-BR"/>
              </w:rPr>
              <w:t>Estabelecer contato com organizações comunitárias latino-americanas para disseminar informações para os latino-americanos em Southwark e facilitar a revisão contínua da acessibilidade de saúde e assistência social para esse grupo.</w:t>
            </w:r>
          </w:p>
        </w:tc>
        <w:tc>
          <w:tcPr>
            <w:tcW w:w="9497" w:type="dxa"/>
          </w:tcPr>
          <w:p w:rsidR="00E73677" w:rsidRPr="00C860FA" w:rsidP="00631C2A" w14:paraId="323D1750" w14:textId="77777777">
            <w:pPr>
              <w:pStyle w:val="TableParagraph"/>
              <w:bidi w:val="0"/>
              <w:ind w:left="111" w:right="124"/>
              <w:rPr>
                <w:sz w:val="24"/>
                <w:szCs w:val="24"/>
              </w:rPr>
            </w:pPr>
            <w:r w:rsidRPr="00C860FA">
              <w:rPr>
                <w:sz w:val="24"/>
                <w:szCs w:val="24"/>
                <w:rtl w:val="0"/>
                <w:lang w:val="pt-BR"/>
              </w:rPr>
              <w:t>Como membros ativos da Partnership Southwark, procuraremos trabalhar em estreita colaboração com os grupos e desenvolver ainda mais os relacionamentos.</w:t>
            </w:r>
          </w:p>
          <w:p w:rsidR="00E73677" w:rsidRPr="00C860FA" w:rsidP="00631C2A" w14:paraId="585877AD" w14:textId="77777777">
            <w:pPr>
              <w:pStyle w:val="TableParagraph"/>
              <w:ind w:left="111" w:right="124"/>
              <w:rPr>
                <w:sz w:val="24"/>
                <w:szCs w:val="24"/>
              </w:rPr>
            </w:pPr>
          </w:p>
          <w:p w:rsidR="00E64883" w:rsidRPr="00C860FA" w:rsidP="00631C2A" w14:paraId="398D6D3F" w14:textId="716FE61E">
            <w:pPr>
              <w:pStyle w:val="TableParagraph"/>
              <w:bidi w:val="0"/>
              <w:ind w:left="111" w:right="124"/>
              <w:rPr>
                <w:sz w:val="24"/>
                <w:szCs w:val="24"/>
              </w:rPr>
            </w:pPr>
            <w:r w:rsidRPr="00C860FA">
              <w:rPr>
                <w:sz w:val="24"/>
                <w:szCs w:val="24"/>
                <w:rtl w:val="0"/>
                <w:lang w:val="pt-BR"/>
              </w:rPr>
              <w:t xml:space="preserve">Faremos parceria com o ICB e com as comunicações e o engajamento do Conselho  </w:t>
            </w:r>
          </w:p>
        </w:tc>
      </w:tr>
      <w:tr w14:paraId="398D6D4A" w14:textId="77777777" w:rsidTr="00631C2A">
        <w:tblPrEx>
          <w:tblW w:w="0" w:type="auto"/>
          <w:tblInd w:w="118" w:type="dxa"/>
          <w:tblLayout w:type="fixed"/>
          <w:tblCellMar>
            <w:left w:w="0" w:type="dxa"/>
            <w:right w:w="0" w:type="dxa"/>
          </w:tblCellMar>
          <w:tblLook w:val="01E0"/>
        </w:tblPrEx>
        <w:trPr>
          <w:trHeight w:val="3035"/>
        </w:trPr>
        <w:tc>
          <w:tcPr>
            <w:tcW w:w="639" w:type="dxa"/>
          </w:tcPr>
          <w:p w:rsidR="00E64883" w:rsidRPr="00C860FA" w:rsidP="00631C2A" w14:paraId="398D6D43" w14:textId="77777777">
            <w:pPr>
              <w:pStyle w:val="TableParagraph"/>
              <w:bidi w:val="0"/>
              <w:ind w:left="110"/>
              <w:rPr>
                <w:sz w:val="24"/>
                <w:szCs w:val="24"/>
              </w:rPr>
            </w:pPr>
            <w:r w:rsidRPr="00C860FA">
              <w:rPr>
                <w:spacing w:val="-10"/>
                <w:sz w:val="24"/>
                <w:szCs w:val="24"/>
                <w:rtl w:val="0"/>
                <w:lang w:val="pt-BR"/>
              </w:rPr>
              <w:t>7</w:t>
            </w:r>
          </w:p>
        </w:tc>
        <w:tc>
          <w:tcPr>
            <w:tcW w:w="4777" w:type="dxa"/>
          </w:tcPr>
          <w:p w:rsidR="00E64883" w:rsidRPr="00C860FA" w:rsidP="00631C2A" w14:paraId="398D6D44" w14:textId="77777777">
            <w:pPr>
              <w:pStyle w:val="TableParagraph"/>
              <w:bidi w:val="0"/>
              <w:ind w:left="113" w:right="85"/>
              <w:rPr>
                <w:sz w:val="24"/>
                <w:szCs w:val="24"/>
              </w:rPr>
            </w:pPr>
            <w:r w:rsidRPr="00C860FA">
              <w:rPr>
                <w:sz w:val="24"/>
                <w:szCs w:val="24"/>
                <w:rtl w:val="0"/>
                <w:lang w:val="pt-BR"/>
              </w:rPr>
              <w:t>Revisar os formulários de monitoramento de diversidade para incluir os latino-americanos e capturar as diferenças internas, como o país de origem e os dialetos falados.</w:t>
            </w:r>
          </w:p>
        </w:tc>
        <w:tc>
          <w:tcPr>
            <w:tcW w:w="9497" w:type="dxa"/>
          </w:tcPr>
          <w:p w:rsidR="0044152B" w:rsidRPr="0044152B" w:rsidP="00631C2A" w14:paraId="0EEE2103" w14:textId="6BA6D9D4">
            <w:pPr>
              <w:pStyle w:val="TableParagraph"/>
              <w:bidi w:val="0"/>
              <w:ind w:left="111" w:right="381"/>
              <w:rPr>
                <w:sz w:val="24"/>
                <w:szCs w:val="24"/>
                <w:lang w:val="en-GB"/>
              </w:rPr>
            </w:pPr>
            <w:r w:rsidRPr="0044152B">
              <w:rPr>
                <w:sz w:val="24"/>
                <w:szCs w:val="24"/>
                <w:rtl w:val="0"/>
                <w:lang w:val="pt-BR"/>
              </w:rPr>
              <w:t xml:space="preserve">A discrição local é limitada. O objetivo nacional é tornar o registro menos complicado. Os consultórios responderão se os pacientes solicitarem que essas informações sejam registradas para ajudar a melhorar a navegação no atendimento médico.  </w:t>
            </w:r>
          </w:p>
          <w:p w:rsidR="0044152B" w:rsidRPr="00C860FA" w:rsidP="00631C2A" w14:paraId="2A2CB236" w14:textId="4CA2275E">
            <w:pPr>
              <w:pStyle w:val="TableParagraph"/>
              <w:ind w:right="381"/>
              <w:rPr>
                <w:sz w:val="24"/>
                <w:szCs w:val="24"/>
              </w:rPr>
            </w:pPr>
          </w:p>
          <w:p w:rsidR="003E000E" w:rsidRPr="00C860FA" w:rsidP="00631C2A" w14:paraId="764819E6" w14:textId="77777777">
            <w:pPr>
              <w:pStyle w:val="TableParagraph"/>
              <w:bidi w:val="0"/>
              <w:ind w:left="111" w:right="381"/>
              <w:rPr>
                <w:spacing w:val="40"/>
                <w:sz w:val="24"/>
                <w:szCs w:val="24"/>
              </w:rPr>
            </w:pPr>
            <w:r w:rsidRPr="00C860FA">
              <w:rPr>
                <w:sz w:val="24"/>
                <w:szCs w:val="24"/>
                <w:rtl w:val="0"/>
                <w:lang w:val="pt-BR"/>
              </w:rPr>
              <w:t xml:space="preserve">Como membros da Partnership Southwark, trabalharemos com as equipes de inteligência comercial e saúde pública para entender melhor as comunidades do bairro e como podemos capturar melhor as informações associadas a elas. </w:t>
            </w:r>
          </w:p>
          <w:p w:rsidR="003E000E" w:rsidRPr="00C860FA" w:rsidP="00631C2A" w14:paraId="47CF3877" w14:textId="77777777">
            <w:pPr>
              <w:pStyle w:val="TableParagraph"/>
              <w:ind w:left="111" w:right="381"/>
              <w:rPr>
                <w:spacing w:val="40"/>
                <w:sz w:val="24"/>
                <w:szCs w:val="24"/>
              </w:rPr>
            </w:pPr>
          </w:p>
          <w:p w:rsidR="00E64883" w:rsidRPr="00C860FA" w:rsidP="00631C2A" w14:paraId="398D6D47" w14:textId="6EE7547D">
            <w:pPr>
              <w:pStyle w:val="TableParagraph"/>
              <w:bidi w:val="0"/>
              <w:ind w:left="111" w:right="381"/>
              <w:rPr>
                <w:sz w:val="24"/>
                <w:szCs w:val="24"/>
              </w:rPr>
            </w:pPr>
            <w:r w:rsidRPr="00C860FA">
              <w:rPr>
                <w:sz w:val="24"/>
                <w:szCs w:val="24"/>
                <w:rtl w:val="0"/>
                <w:lang w:val="pt-BR"/>
              </w:rPr>
              <w:t>A atividade de engajamento público do NHS South East London é sustentada por um formulário consistente de diversidade e monitoramento que busca entender melhor as comunidades de indivíduos que respondem ao nosso trabalho. Isso será continuamente monitorado e desenvolvido para garantir que ouçamos e reflitamos as diversas vozes de Southwark e do sudeste de Londres</w:t>
            </w:r>
          </w:p>
        </w:tc>
      </w:tr>
      <w:tr w14:paraId="398D6D52" w14:textId="77777777" w:rsidTr="00631C2A">
        <w:tblPrEx>
          <w:tblW w:w="0" w:type="auto"/>
          <w:tblInd w:w="118" w:type="dxa"/>
          <w:tblLayout w:type="fixed"/>
          <w:tblCellMar>
            <w:left w:w="0" w:type="dxa"/>
            <w:right w:w="0" w:type="dxa"/>
          </w:tblCellMar>
          <w:tblLook w:val="01E0"/>
        </w:tblPrEx>
        <w:trPr>
          <w:trHeight w:val="1486"/>
        </w:trPr>
        <w:tc>
          <w:tcPr>
            <w:tcW w:w="639" w:type="dxa"/>
          </w:tcPr>
          <w:p w:rsidR="00E64883" w:rsidRPr="00C860FA" w:rsidP="00631C2A" w14:paraId="398D6D4B" w14:textId="77777777">
            <w:pPr>
              <w:pStyle w:val="TableParagraph"/>
              <w:bidi w:val="0"/>
              <w:ind w:left="131"/>
              <w:rPr>
                <w:sz w:val="24"/>
                <w:szCs w:val="24"/>
              </w:rPr>
            </w:pPr>
            <w:r w:rsidRPr="00C860FA">
              <w:rPr>
                <w:spacing w:val="-10"/>
                <w:sz w:val="24"/>
                <w:szCs w:val="24"/>
                <w:rtl w:val="0"/>
                <w:lang w:val="pt-BR"/>
              </w:rPr>
              <w:t>8</w:t>
            </w:r>
          </w:p>
        </w:tc>
        <w:tc>
          <w:tcPr>
            <w:tcW w:w="4777" w:type="dxa"/>
          </w:tcPr>
          <w:p w:rsidR="00E64883" w:rsidRPr="00C860FA" w:rsidP="00631C2A" w14:paraId="398D6D4C" w14:textId="77777777">
            <w:pPr>
              <w:pStyle w:val="TableParagraph"/>
              <w:bidi w:val="0"/>
              <w:ind w:left="112" w:right="84"/>
              <w:rPr>
                <w:sz w:val="24"/>
                <w:szCs w:val="24"/>
              </w:rPr>
            </w:pPr>
            <w:r w:rsidRPr="00C860FA">
              <w:rPr>
                <w:sz w:val="24"/>
                <w:szCs w:val="24"/>
                <w:rtl w:val="0"/>
                <w:lang w:val="pt-BR"/>
              </w:rPr>
              <w:t>Treinamento em diversidade e inclusão para a equipe de saúde, por exemplo, recepcionistas.</w:t>
            </w:r>
          </w:p>
        </w:tc>
        <w:tc>
          <w:tcPr>
            <w:tcW w:w="9497" w:type="dxa"/>
          </w:tcPr>
          <w:p w:rsidR="00360CB9" w:rsidRPr="00C860FA" w:rsidP="00631C2A" w14:paraId="1CCF76D2" w14:textId="2CB43662">
            <w:pPr>
              <w:pStyle w:val="TableParagraph"/>
              <w:bidi w:val="0"/>
              <w:ind w:left="111" w:right="334"/>
              <w:rPr>
                <w:sz w:val="24"/>
                <w:szCs w:val="24"/>
              </w:rPr>
            </w:pPr>
            <w:r w:rsidRPr="00C860FA">
              <w:rPr>
                <w:sz w:val="24"/>
                <w:szCs w:val="24"/>
                <w:rtl w:val="0"/>
                <w:lang w:val="pt-BR"/>
              </w:rPr>
              <w:t>Todas as práticas devem realizar um treinamento obrigatório sobre diversidade e inclusão. Apoiamos as práticas para que busquem e implementem treinamento adicional.</w:t>
            </w:r>
          </w:p>
          <w:p w:rsidR="005C6441" w:rsidRPr="00C860FA" w:rsidP="00631C2A" w14:paraId="23FDC0EC" w14:textId="77777777">
            <w:pPr>
              <w:pStyle w:val="TableParagraph"/>
              <w:ind w:left="111" w:right="334"/>
              <w:rPr>
                <w:sz w:val="24"/>
                <w:szCs w:val="24"/>
              </w:rPr>
            </w:pPr>
          </w:p>
          <w:p w:rsidR="00E64883" w:rsidRPr="00631C2A" w:rsidP="00631C2A" w14:paraId="398D6D4F" w14:textId="679FBF92">
            <w:pPr>
              <w:pStyle w:val="TableParagraph"/>
              <w:bidi w:val="0"/>
              <w:ind w:left="111" w:right="334"/>
              <w:rPr>
                <w:sz w:val="24"/>
                <w:szCs w:val="24"/>
                <w:lang w:val="en-GB"/>
              </w:rPr>
            </w:pPr>
            <w:r w:rsidRPr="005C6441">
              <w:rPr>
                <w:sz w:val="24"/>
                <w:szCs w:val="24"/>
                <w:rtl w:val="0"/>
                <w:lang w:val="pt-BR"/>
              </w:rPr>
              <w:t>O treinamento em diversidade e inclusão para a equipe da linha de frente está incluído no programa de indução e também é obrigatório para nossa equipe.</w:t>
            </w:r>
          </w:p>
        </w:tc>
      </w:tr>
    </w:tbl>
    <w:p w:rsidR="00726EF0" w:rsidRPr="00C860FA" w:rsidP="00631C2A" w14:paraId="398D6D53" w14:textId="77777777">
      <w:pPr>
        <w:rPr>
          <w:sz w:val="24"/>
          <w:szCs w:val="24"/>
        </w:rPr>
        <w:sectPr w:rsidSect="00631C2A">
          <w:type w:val="continuous"/>
          <w:pgSz w:w="16840" w:h="11910" w:orient="landscape"/>
          <w:pgMar w:top="1134" w:right="851" w:bottom="851" w:left="851" w:header="272" w:footer="132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9"/>
        <w:gridCol w:w="4777"/>
        <w:gridCol w:w="9497"/>
      </w:tblGrid>
      <w:tr w14:paraId="398D6D5A" w14:textId="77777777" w:rsidTr="00631C2A">
        <w:tblPrEx>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89"/>
        </w:trPr>
        <w:tc>
          <w:tcPr>
            <w:tcW w:w="639" w:type="dxa"/>
          </w:tcPr>
          <w:p w:rsidR="00230C12" w:rsidRPr="00C860FA" w:rsidP="00631C2A" w14:paraId="398D6D54" w14:textId="77777777">
            <w:pPr>
              <w:pStyle w:val="TableParagraph"/>
              <w:bidi w:val="0"/>
              <w:ind w:left="114"/>
              <w:rPr>
                <w:sz w:val="24"/>
                <w:szCs w:val="24"/>
              </w:rPr>
            </w:pPr>
            <w:r w:rsidRPr="00C860FA">
              <w:rPr>
                <w:spacing w:val="-10"/>
                <w:sz w:val="24"/>
                <w:szCs w:val="24"/>
                <w:rtl w:val="0"/>
                <w:lang w:val="pt-BR"/>
              </w:rPr>
              <w:t>9</w:t>
            </w:r>
          </w:p>
        </w:tc>
        <w:tc>
          <w:tcPr>
            <w:tcW w:w="4777" w:type="dxa"/>
          </w:tcPr>
          <w:p w:rsidR="00230C12" w:rsidRPr="00C860FA" w:rsidP="00631C2A" w14:paraId="398D6D55" w14:textId="77777777">
            <w:pPr>
              <w:pStyle w:val="TableParagraph"/>
              <w:bidi w:val="0"/>
              <w:ind w:left="113" w:right="11"/>
              <w:rPr>
                <w:sz w:val="24"/>
                <w:szCs w:val="24"/>
              </w:rPr>
            </w:pPr>
            <w:r w:rsidRPr="00C860FA">
              <w:rPr>
                <w:sz w:val="24"/>
                <w:szCs w:val="24"/>
                <w:rtl w:val="0"/>
                <w:lang w:val="pt-BR"/>
              </w:rPr>
              <w:t>Um sistema de agendamento de clínica geral que oferece aos pacientes mais flexibilidade para quando eles podem fazer um agendamento e para a data e o horário das consultas</w:t>
            </w:r>
          </w:p>
        </w:tc>
        <w:tc>
          <w:tcPr>
            <w:tcW w:w="9497" w:type="dxa"/>
          </w:tcPr>
          <w:p w:rsidR="00230C12" w:rsidP="00631C2A" w14:paraId="3E5EA379" w14:textId="4ED0F27C">
            <w:pPr>
              <w:pStyle w:val="TableParagraph"/>
              <w:bidi w:val="0"/>
              <w:ind w:left="111"/>
              <w:rPr>
                <w:sz w:val="24"/>
                <w:szCs w:val="24"/>
              </w:rPr>
            </w:pPr>
            <w:r w:rsidRPr="00C860FA">
              <w:rPr>
                <w:sz w:val="24"/>
                <w:szCs w:val="24"/>
                <w:rtl w:val="0"/>
                <w:lang w:val="pt-BR"/>
              </w:rPr>
              <w:t xml:space="preserve">Estamos trabalhando com o ICB, com os sistemas nacionais (o aplicativo do NHS) e com outros provedores, como o NHS 111, para oferecer uma variedade de maneiras de marcar consultas. </w:t>
            </w:r>
          </w:p>
          <w:p w:rsidR="00631C2A" w:rsidRPr="00C860FA" w:rsidP="00631C2A" w14:paraId="40F3512B" w14:textId="77777777">
            <w:pPr>
              <w:pStyle w:val="TableParagraph"/>
              <w:ind w:left="111"/>
              <w:rPr>
                <w:sz w:val="24"/>
                <w:szCs w:val="24"/>
              </w:rPr>
            </w:pPr>
          </w:p>
          <w:p w:rsidR="00631C2A" w:rsidP="00631C2A" w14:paraId="5F8D535D" w14:textId="77777777">
            <w:pPr>
              <w:pStyle w:val="TableParagraph"/>
              <w:bidi w:val="0"/>
              <w:ind w:left="111"/>
              <w:rPr>
                <w:sz w:val="24"/>
                <w:szCs w:val="24"/>
              </w:rPr>
            </w:pPr>
            <w:r w:rsidRPr="00C860FA">
              <w:rPr>
                <w:sz w:val="24"/>
                <w:szCs w:val="24"/>
                <w:rtl w:val="0"/>
                <w:lang w:val="pt-BR"/>
              </w:rPr>
              <w:t>A demanda por consultas é alta e a equipe da clínica está trabalhando duro para enfrentar os desafios de oferecer atendimento oportuno e compassivo de forma acessível e flexível.</w:t>
            </w:r>
          </w:p>
          <w:p w:rsidR="00230C12" w:rsidRPr="00C860FA" w:rsidP="00631C2A" w14:paraId="588FFB8D" w14:textId="517DBB75">
            <w:pPr>
              <w:pStyle w:val="TableParagraph"/>
              <w:ind w:left="111"/>
              <w:rPr>
                <w:sz w:val="24"/>
                <w:szCs w:val="24"/>
              </w:rPr>
            </w:pPr>
            <w:r w:rsidRPr="00C860FA">
              <w:rPr>
                <w:sz w:val="24"/>
                <w:szCs w:val="24"/>
              </w:rPr>
              <w:t xml:space="preserve"> </w:t>
            </w:r>
          </w:p>
          <w:p w:rsidR="00230C12" w:rsidRPr="00C860FA" w:rsidP="00631C2A" w14:paraId="2ED483E0" w14:textId="09FE2824">
            <w:pPr>
              <w:pStyle w:val="TableParagraph"/>
              <w:bidi w:val="0"/>
              <w:ind w:left="111"/>
              <w:rPr>
                <w:sz w:val="24"/>
                <w:szCs w:val="24"/>
                <w:lang w:val="en-GB"/>
              </w:rPr>
            </w:pPr>
            <w:r w:rsidRPr="00230C12">
              <w:rPr>
                <w:sz w:val="24"/>
                <w:szCs w:val="24"/>
                <w:rtl w:val="0"/>
                <w:lang w:val="pt-BR"/>
              </w:rPr>
              <w:t xml:space="preserve">Os consultórios têm acesso ao hub Enhanced Access e, portanto, podem encaminhar os pacientes para esses serviços (por exemplo, se não houver disponibilidade de consultas nos consultórios ou se forem necessárias consultas à noite ou no fim de semana para melhorar o acesso).   </w:t>
            </w:r>
          </w:p>
          <w:p w:rsidR="00631C2A" w:rsidP="00631C2A" w14:paraId="3AEC8E04" w14:textId="77777777">
            <w:pPr>
              <w:pStyle w:val="TableParagraph"/>
              <w:ind w:left="111"/>
              <w:rPr>
                <w:sz w:val="24"/>
                <w:szCs w:val="24"/>
              </w:rPr>
            </w:pPr>
          </w:p>
          <w:p w:rsidR="00230C12" w:rsidRPr="00C860FA" w:rsidP="00631C2A" w14:paraId="398D6D57" w14:textId="4BC40B26">
            <w:pPr>
              <w:pStyle w:val="TableParagraph"/>
              <w:bidi w:val="0"/>
              <w:ind w:left="111"/>
              <w:rPr>
                <w:sz w:val="24"/>
                <w:szCs w:val="24"/>
              </w:rPr>
            </w:pPr>
            <w:r w:rsidRPr="00C860FA">
              <w:rPr>
                <w:sz w:val="24"/>
                <w:szCs w:val="24"/>
                <w:rtl w:val="0"/>
                <w:lang w:val="pt-BR"/>
              </w:rPr>
              <w:t>Continuaremos a trabalhar com os parceiros para aprimorar o sistema de reservas sempre que possível.</w:t>
            </w:r>
          </w:p>
        </w:tc>
      </w:tr>
      <w:tr w14:paraId="398D6D63" w14:textId="77777777" w:rsidTr="00631C2A">
        <w:tblPrEx>
          <w:tblW w:w="0" w:type="auto"/>
          <w:tblInd w:w="118" w:type="dxa"/>
          <w:tblLayout w:type="fixed"/>
          <w:tblCellMar>
            <w:left w:w="0" w:type="dxa"/>
            <w:right w:w="0" w:type="dxa"/>
          </w:tblCellMar>
          <w:tblLook w:val="01E0"/>
        </w:tblPrEx>
        <w:trPr>
          <w:trHeight w:val="1545"/>
        </w:trPr>
        <w:tc>
          <w:tcPr>
            <w:tcW w:w="639" w:type="dxa"/>
          </w:tcPr>
          <w:p w:rsidR="00230C12" w:rsidRPr="00C860FA" w:rsidP="00631C2A" w14:paraId="398D6D5B" w14:textId="77777777">
            <w:pPr>
              <w:pStyle w:val="TableParagraph"/>
              <w:bidi w:val="0"/>
              <w:ind w:left="114"/>
              <w:rPr>
                <w:sz w:val="24"/>
                <w:szCs w:val="24"/>
              </w:rPr>
            </w:pPr>
            <w:r w:rsidRPr="00C860FA">
              <w:rPr>
                <w:spacing w:val="-5"/>
                <w:sz w:val="24"/>
                <w:szCs w:val="24"/>
                <w:rtl w:val="0"/>
                <w:lang w:val="pt-BR"/>
              </w:rPr>
              <w:t>11</w:t>
            </w:r>
          </w:p>
        </w:tc>
        <w:tc>
          <w:tcPr>
            <w:tcW w:w="4777" w:type="dxa"/>
          </w:tcPr>
          <w:p w:rsidR="00230C12" w:rsidRPr="00C860FA" w:rsidP="00631C2A" w14:paraId="398D6D5C" w14:textId="77777777">
            <w:pPr>
              <w:pStyle w:val="TableParagraph"/>
              <w:bidi w:val="0"/>
              <w:ind w:left="112" w:right="84"/>
              <w:rPr>
                <w:sz w:val="24"/>
                <w:szCs w:val="24"/>
              </w:rPr>
            </w:pPr>
            <w:r w:rsidRPr="00C860FA">
              <w:rPr>
                <w:sz w:val="24"/>
                <w:szCs w:val="24"/>
                <w:rtl w:val="0"/>
                <w:lang w:val="pt-BR"/>
              </w:rPr>
              <w:t>Eliminar as cobranças por cartas e outros documentos, especialmente para pacientes de baixa renda.</w:t>
            </w:r>
          </w:p>
        </w:tc>
        <w:tc>
          <w:tcPr>
            <w:tcW w:w="9497" w:type="dxa"/>
          </w:tcPr>
          <w:p w:rsidR="00230C12" w:rsidRPr="00C860FA" w:rsidP="00631C2A" w14:paraId="398D6D5D" w14:textId="27793B80">
            <w:pPr>
              <w:pStyle w:val="TableParagraph"/>
              <w:bidi w:val="0"/>
              <w:ind w:left="111" w:right="124"/>
              <w:rPr>
                <w:spacing w:val="-2"/>
                <w:sz w:val="24"/>
                <w:szCs w:val="24"/>
              </w:rPr>
            </w:pPr>
            <w:r w:rsidRPr="00C860FA">
              <w:rPr>
                <w:sz w:val="24"/>
                <w:szCs w:val="24"/>
                <w:rtl w:val="0"/>
                <w:lang w:val="pt-BR"/>
              </w:rPr>
              <w:t xml:space="preserve">Os pacientes devem poder acessar suas anotações gratuitamente on-line, geralmente por meio do aplicativo do NHS </w:t>
            </w:r>
          </w:p>
          <w:p w:rsidR="000D0BF6" w:rsidP="00631C2A" w14:paraId="01C5B1C3" w14:textId="1FC10F0B">
            <w:pPr>
              <w:pStyle w:val="TableParagraph"/>
              <w:ind w:left="111" w:right="124"/>
              <w:rPr>
                <w:spacing w:val="-2"/>
                <w:sz w:val="24"/>
                <w:szCs w:val="24"/>
              </w:rPr>
            </w:pPr>
          </w:p>
          <w:p w:rsidR="00631C2A" w:rsidP="00631C2A" w14:paraId="4C6AD2FD" w14:textId="25BEA866">
            <w:pPr>
              <w:pStyle w:val="TableParagraph"/>
              <w:bidi w:val="0"/>
              <w:ind w:left="111" w:right="124"/>
              <w:rPr>
                <w:spacing w:val="-2"/>
                <w:sz w:val="24"/>
                <w:szCs w:val="24"/>
              </w:rPr>
            </w:pPr>
            <w:r>
              <w:rPr>
                <w:spacing w:val="-2"/>
                <w:sz w:val="24"/>
                <w:szCs w:val="24"/>
                <w:rtl w:val="0"/>
                <w:lang w:val="pt-BR"/>
              </w:rPr>
              <w:t>Não há cobranças para cartas e outras documentações que são cobertas pelo contrato nacional de clínicas gerais.</w:t>
            </w:r>
          </w:p>
          <w:p w:rsidR="00631C2A" w:rsidRPr="00C860FA" w:rsidP="00631C2A" w14:paraId="02D726A6" w14:textId="77777777">
            <w:pPr>
              <w:pStyle w:val="TableParagraph"/>
              <w:ind w:left="111" w:right="124"/>
              <w:rPr>
                <w:spacing w:val="-2"/>
                <w:sz w:val="24"/>
                <w:szCs w:val="24"/>
              </w:rPr>
            </w:pPr>
          </w:p>
          <w:p w:rsidR="00230C12" w:rsidRPr="00C860FA" w:rsidP="00631C2A" w14:paraId="398D6D60" w14:textId="2996D879">
            <w:pPr>
              <w:pStyle w:val="TableParagraph"/>
              <w:bidi w:val="0"/>
              <w:ind w:left="111" w:right="124"/>
              <w:rPr>
                <w:sz w:val="24"/>
                <w:szCs w:val="24"/>
              </w:rPr>
            </w:pPr>
            <w:r w:rsidRPr="00C860FA">
              <w:rPr>
                <w:spacing w:val="-2"/>
                <w:sz w:val="24"/>
                <w:szCs w:val="24"/>
                <w:rtl w:val="0"/>
                <w:lang w:val="pt-BR"/>
              </w:rPr>
              <w:t xml:space="preserve">A discrição local é limitada pela política nacional. Os consultórios médicos individuais podem cobrar por cartas e </w:t>
            </w:r>
            <w:bookmarkStart w:id="0" w:name="_GoBack"/>
            <w:bookmarkEnd w:id="0"/>
            <w:r w:rsidRPr="00C860FA">
              <w:rPr>
                <w:spacing w:val="-2"/>
                <w:sz w:val="24"/>
                <w:szCs w:val="24"/>
                <w:rtl w:val="0"/>
                <w:lang w:val="pt-BR"/>
              </w:rPr>
              <w:t xml:space="preserve">outros documentos que não são cobertos pelo contrato nacional.  Essas taxas estão disponíveis mediante solicitação em todos os consultórios </w:t>
            </w:r>
          </w:p>
        </w:tc>
      </w:tr>
    </w:tbl>
    <w:p w:rsidR="00C860FA" w:rsidP="00631C2A" w14:paraId="398D6D64" w14:textId="77777777"/>
    <w:sectPr w:rsidSect="00631C2A">
      <w:type w:val="continuous"/>
      <w:pgSz w:w="16840" w:h="11910" w:orient="landscape"/>
      <w:pgMar w:top="1134" w:right="851" w:bottom="851" w:left="851" w:header="272" w:footer="132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EF0" w:rsidRPr="007802EB" w:rsidP="007802EB" w14:paraId="398D6D65" w14:textId="5A14F1A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6EF0" w:rsidP="002A48FA" w14:paraId="398D6D64" w14:textId="5A390BF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29BB"/>
    <w:multiLevelType w:val="hybridMultilevel"/>
    <w:tmpl w:val="3C7859B6"/>
    <w:lvl w:ilvl="0">
      <w:start w:val="0"/>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14" w:hanging="361"/>
      </w:pPr>
      <w:rPr>
        <w:rFonts w:hint="default"/>
        <w:lang w:val="en-US" w:eastAsia="en-US" w:bidi="ar-SA"/>
      </w:rPr>
    </w:lvl>
    <w:lvl w:ilvl="2">
      <w:start w:val="0"/>
      <w:numFmt w:val="bullet"/>
      <w:lvlText w:val="•"/>
      <w:lvlJc w:val="left"/>
      <w:pPr>
        <w:ind w:left="1708" w:hanging="361"/>
      </w:pPr>
      <w:rPr>
        <w:rFonts w:hint="default"/>
        <w:lang w:val="en-US" w:eastAsia="en-US" w:bidi="ar-SA"/>
      </w:rPr>
    </w:lvl>
    <w:lvl w:ilvl="3">
      <w:start w:val="0"/>
      <w:numFmt w:val="bullet"/>
      <w:lvlText w:val="•"/>
      <w:lvlJc w:val="left"/>
      <w:pPr>
        <w:ind w:left="2202" w:hanging="361"/>
      </w:pPr>
      <w:rPr>
        <w:rFonts w:hint="default"/>
        <w:lang w:val="en-US" w:eastAsia="en-US" w:bidi="ar-SA"/>
      </w:rPr>
    </w:lvl>
    <w:lvl w:ilvl="4">
      <w:start w:val="0"/>
      <w:numFmt w:val="bullet"/>
      <w:lvlText w:val="•"/>
      <w:lvlJc w:val="left"/>
      <w:pPr>
        <w:ind w:left="2696" w:hanging="361"/>
      </w:pPr>
      <w:rPr>
        <w:rFonts w:hint="default"/>
        <w:lang w:val="en-US" w:eastAsia="en-US" w:bidi="ar-SA"/>
      </w:rPr>
    </w:lvl>
    <w:lvl w:ilvl="5">
      <w:start w:val="0"/>
      <w:numFmt w:val="bullet"/>
      <w:lvlText w:val="•"/>
      <w:lvlJc w:val="left"/>
      <w:pPr>
        <w:ind w:left="3190" w:hanging="361"/>
      </w:pPr>
      <w:rPr>
        <w:rFonts w:hint="default"/>
        <w:lang w:val="en-US" w:eastAsia="en-US" w:bidi="ar-SA"/>
      </w:rPr>
    </w:lvl>
    <w:lvl w:ilvl="6">
      <w:start w:val="0"/>
      <w:numFmt w:val="bullet"/>
      <w:lvlText w:val="•"/>
      <w:lvlJc w:val="left"/>
      <w:pPr>
        <w:ind w:left="3684" w:hanging="361"/>
      </w:pPr>
      <w:rPr>
        <w:rFonts w:hint="default"/>
        <w:lang w:val="en-US" w:eastAsia="en-US" w:bidi="ar-SA"/>
      </w:rPr>
    </w:lvl>
    <w:lvl w:ilvl="7">
      <w:start w:val="0"/>
      <w:numFmt w:val="bullet"/>
      <w:lvlText w:val="•"/>
      <w:lvlJc w:val="left"/>
      <w:pPr>
        <w:ind w:left="4178" w:hanging="361"/>
      </w:pPr>
      <w:rPr>
        <w:rFonts w:hint="default"/>
        <w:lang w:val="en-US" w:eastAsia="en-US" w:bidi="ar-SA"/>
      </w:rPr>
    </w:lvl>
    <w:lvl w:ilvl="8">
      <w:start w:val="0"/>
      <w:numFmt w:val="bullet"/>
      <w:lvlText w:val="•"/>
      <w:lvlJc w:val="left"/>
      <w:pPr>
        <w:ind w:left="4672" w:hanging="361"/>
      </w:pPr>
      <w:rPr>
        <w:rFonts w:hint="default"/>
        <w:lang w:val="en-US" w:eastAsia="en-US" w:bidi="ar-SA"/>
      </w:rPr>
    </w:lvl>
  </w:abstractNum>
  <w:abstractNum w:abstractNumId="1">
    <w:nsid w:val="42D10F97"/>
    <w:multiLevelType w:val="hybridMultilevel"/>
    <w:tmpl w:val="8752FE66"/>
    <w:lvl w:ilvl="0">
      <w:start w:val="0"/>
      <w:numFmt w:val="bullet"/>
      <w:lvlText w:val=""/>
      <w:lvlJc w:val="left"/>
      <w:pPr>
        <w:ind w:left="724" w:hanging="361"/>
      </w:pPr>
      <w:rPr>
        <w:rFonts w:ascii="Symbol" w:eastAsia="Symbol" w:hAnsi="Symbol" w:cs="Symbol" w:hint="default"/>
        <w:b w:val="0"/>
        <w:bCs w:val="0"/>
        <w:i w:val="0"/>
        <w:iCs w:val="0"/>
        <w:spacing w:val="0"/>
        <w:w w:val="99"/>
        <w:sz w:val="20"/>
        <w:szCs w:val="20"/>
        <w:lang w:val="en-US" w:eastAsia="en-US" w:bidi="ar-SA"/>
      </w:rPr>
    </w:lvl>
    <w:lvl w:ilvl="1">
      <w:start w:val="0"/>
      <w:numFmt w:val="bullet"/>
      <w:lvlText w:val="•"/>
      <w:lvlJc w:val="left"/>
      <w:pPr>
        <w:ind w:left="1214" w:hanging="361"/>
      </w:pPr>
      <w:rPr>
        <w:rFonts w:hint="default"/>
        <w:lang w:val="en-US" w:eastAsia="en-US" w:bidi="ar-SA"/>
      </w:rPr>
    </w:lvl>
    <w:lvl w:ilvl="2">
      <w:start w:val="0"/>
      <w:numFmt w:val="bullet"/>
      <w:lvlText w:val="•"/>
      <w:lvlJc w:val="left"/>
      <w:pPr>
        <w:ind w:left="1708" w:hanging="361"/>
      </w:pPr>
      <w:rPr>
        <w:rFonts w:hint="default"/>
        <w:lang w:val="en-US" w:eastAsia="en-US" w:bidi="ar-SA"/>
      </w:rPr>
    </w:lvl>
    <w:lvl w:ilvl="3">
      <w:start w:val="0"/>
      <w:numFmt w:val="bullet"/>
      <w:lvlText w:val="•"/>
      <w:lvlJc w:val="left"/>
      <w:pPr>
        <w:ind w:left="2202" w:hanging="361"/>
      </w:pPr>
      <w:rPr>
        <w:rFonts w:hint="default"/>
        <w:lang w:val="en-US" w:eastAsia="en-US" w:bidi="ar-SA"/>
      </w:rPr>
    </w:lvl>
    <w:lvl w:ilvl="4">
      <w:start w:val="0"/>
      <w:numFmt w:val="bullet"/>
      <w:lvlText w:val="•"/>
      <w:lvlJc w:val="left"/>
      <w:pPr>
        <w:ind w:left="2696" w:hanging="361"/>
      </w:pPr>
      <w:rPr>
        <w:rFonts w:hint="default"/>
        <w:lang w:val="en-US" w:eastAsia="en-US" w:bidi="ar-SA"/>
      </w:rPr>
    </w:lvl>
    <w:lvl w:ilvl="5">
      <w:start w:val="0"/>
      <w:numFmt w:val="bullet"/>
      <w:lvlText w:val="•"/>
      <w:lvlJc w:val="left"/>
      <w:pPr>
        <w:ind w:left="3190" w:hanging="361"/>
      </w:pPr>
      <w:rPr>
        <w:rFonts w:hint="default"/>
        <w:lang w:val="en-US" w:eastAsia="en-US" w:bidi="ar-SA"/>
      </w:rPr>
    </w:lvl>
    <w:lvl w:ilvl="6">
      <w:start w:val="0"/>
      <w:numFmt w:val="bullet"/>
      <w:lvlText w:val="•"/>
      <w:lvlJc w:val="left"/>
      <w:pPr>
        <w:ind w:left="3684" w:hanging="361"/>
      </w:pPr>
      <w:rPr>
        <w:rFonts w:hint="default"/>
        <w:lang w:val="en-US" w:eastAsia="en-US" w:bidi="ar-SA"/>
      </w:rPr>
    </w:lvl>
    <w:lvl w:ilvl="7">
      <w:start w:val="0"/>
      <w:numFmt w:val="bullet"/>
      <w:lvlText w:val="•"/>
      <w:lvlJc w:val="left"/>
      <w:pPr>
        <w:ind w:left="4178" w:hanging="361"/>
      </w:pPr>
      <w:rPr>
        <w:rFonts w:hint="default"/>
        <w:lang w:val="en-US" w:eastAsia="en-US" w:bidi="ar-SA"/>
      </w:rPr>
    </w:lvl>
    <w:lvl w:ilvl="8">
      <w:start w:val="0"/>
      <w:numFmt w:val="bullet"/>
      <w:lvlText w:val="•"/>
      <w:lvlJc w:val="left"/>
      <w:pPr>
        <w:ind w:left="467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EF0"/>
    <w:rsid w:val="000D0BF6"/>
    <w:rsid w:val="001379E6"/>
    <w:rsid w:val="001865D5"/>
    <w:rsid w:val="00221364"/>
    <w:rsid w:val="00230C12"/>
    <w:rsid w:val="002A48FA"/>
    <w:rsid w:val="00360CB9"/>
    <w:rsid w:val="003E000E"/>
    <w:rsid w:val="0044152B"/>
    <w:rsid w:val="004750C0"/>
    <w:rsid w:val="00486F9B"/>
    <w:rsid w:val="004D02C0"/>
    <w:rsid w:val="00544316"/>
    <w:rsid w:val="005C6441"/>
    <w:rsid w:val="00631C2A"/>
    <w:rsid w:val="006E0217"/>
    <w:rsid w:val="00726EF0"/>
    <w:rsid w:val="007802EB"/>
    <w:rsid w:val="0078648A"/>
    <w:rsid w:val="0080658D"/>
    <w:rsid w:val="0090194E"/>
    <w:rsid w:val="009B4BD5"/>
    <w:rsid w:val="009D4959"/>
    <w:rsid w:val="009F528B"/>
    <w:rsid w:val="00A10288"/>
    <w:rsid w:val="00A86C1B"/>
    <w:rsid w:val="00AA5A3E"/>
    <w:rsid w:val="00AA7AEA"/>
    <w:rsid w:val="00AC54A1"/>
    <w:rsid w:val="00B3527B"/>
    <w:rsid w:val="00C860FA"/>
    <w:rsid w:val="00DD6EE2"/>
    <w:rsid w:val="00E64883"/>
    <w:rsid w:val="00E6723A"/>
    <w:rsid w:val="00E73677"/>
    <w:rsid w:val="00E743F4"/>
    <w:rsid w:val="00E915F8"/>
    <w:rsid w:val="00F06E9E"/>
    <w:rsid w:val="00FF28C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8EDBA68-C3D3-492E-8F52-1753B652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02EB"/>
    <w:pPr>
      <w:tabs>
        <w:tab w:val="center" w:pos="4513"/>
        <w:tab w:val="right" w:pos="9026"/>
      </w:tabs>
    </w:pPr>
  </w:style>
  <w:style w:type="character" w:customStyle="1" w:styleId="HeaderChar">
    <w:name w:val="Header Char"/>
    <w:basedOn w:val="DefaultParagraphFont"/>
    <w:link w:val="Header"/>
    <w:uiPriority w:val="99"/>
    <w:rsid w:val="007802EB"/>
    <w:rPr>
      <w:rFonts w:ascii="Arial" w:eastAsia="Arial" w:hAnsi="Arial" w:cs="Arial"/>
    </w:rPr>
  </w:style>
  <w:style w:type="paragraph" w:styleId="Footer">
    <w:name w:val="footer"/>
    <w:basedOn w:val="Normal"/>
    <w:link w:val="FooterChar"/>
    <w:uiPriority w:val="99"/>
    <w:unhideWhenUsed/>
    <w:rsid w:val="007802EB"/>
    <w:pPr>
      <w:tabs>
        <w:tab w:val="center" w:pos="4513"/>
        <w:tab w:val="right" w:pos="9026"/>
      </w:tabs>
    </w:pPr>
  </w:style>
  <w:style w:type="character" w:customStyle="1" w:styleId="FooterChar">
    <w:name w:val="Footer Char"/>
    <w:basedOn w:val="DefaultParagraphFont"/>
    <w:link w:val="Footer"/>
    <w:uiPriority w:val="99"/>
    <w:rsid w:val="007802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20DE79E89084195005F8CE1BD9EB2" ma:contentTypeVersion="20" ma:contentTypeDescription="Create a new document." ma:contentTypeScope="" ma:versionID="80028734b64990633bb61c4a6cb78845">
  <xsd:schema xmlns:xsd="http://www.w3.org/2001/XMLSchema" xmlns:xs="http://www.w3.org/2001/XMLSchema" xmlns:p="http://schemas.microsoft.com/office/2006/metadata/properties" xmlns:ns2="6cc26f7d-087a-49b4-9718-bfb85cdd98db" xmlns:ns3="d9240c79-43c5-442b-ba71-01da65aacc8c" targetNamespace="http://schemas.microsoft.com/office/2006/metadata/properties" ma:root="true" ma:fieldsID="55d1bbcad4051403d4308e8a059eacc3" ns2:_="" ns3:_="">
    <xsd:import namespace="6cc26f7d-087a-49b4-9718-bfb85cdd98db"/>
    <xsd:import namespace="d9240c79-43c5-442b-ba71-01da65aacc8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6f7d-087a-49b4-9718-bfb85cdd98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ebd3c6d9-dd8e-4917-88e5-2c8146e620ff}" ma:internalName="TaxCatchAll" ma:showField="CatchAllData" ma:web="6cc26f7d-087a-49b4-9718-bfb85cdd98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240c79-43c5-442b-ba71-01da65aacc8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63a0205-6194-40e2-9b62-dd265ee46e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40c79-43c5-442b-ba71-01da65aacc8c">
      <Terms xmlns="http://schemas.microsoft.com/office/infopath/2007/PartnerControls"/>
    </lcf76f155ced4ddcb4097134ff3c332f>
    <TaxCatchAll xmlns="6cc26f7d-087a-49b4-9718-bfb85cdd98db" xsi:nil="true"/>
  </documentManagement>
</p:properties>
</file>

<file path=customXml/itemProps1.xml><?xml version="1.0" encoding="utf-8"?>
<ds:datastoreItem xmlns:ds="http://schemas.openxmlformats.org/officeDocument/2006/customXml" ds:itemID="{F2BDC5FB-F542-4318-874E-ABC9CFAC03FF}"/>
</file>

<file path=customXml/itemProps2.xml><?xml version="1.0" encoding="utf-8"?>
<ds:datastoreItem xmlns:ds="http://schemas.openxmlformats.org/officeDocument/2006/customXml" ds:itemID="{21702E47-78CA-4194-89C5-579D665A8773}"/>
</file>

<file path=customXml/itemProps3.xml><?xml version="1.0" encoding="utf-8"?>
<ds:datastoreItem xmlns:ds="http://schemas.openxmlformats.org/officeDocument/2006/customXml" ds:itemID="{3FA67DAE-9C4D-4154-9889-6478573B13E5}"/>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Bland</dc:creator>
  <cp:lastModifiedBy>Rebecca</cp:lastModifiedBy>
  <cp:revision>2</cp:revision>
  <dcterms:created xsi:type="dcterms:W3CDTF">2024-05-30T13:27:00Z</dcterms:created>
  <dcterms:modified xsi:type="dcterms:W3CDTF">2024-05-30T13:27:00Z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2024-03-08T00:00:00Z</vt:filetime>
  </property>
  <property fmtid="{D5CDD505-2E9C-101B-9397-08002B2CF9AE}" pid="3" name="Creator">
    <vt:lpwstr>Microsoft® Word for Microsoft 365</vt:lpwstr>
  </property>
  <property fmtid="{D5CDD505-2E9C-101B-9397-08002B2CF9AE}" pid="4" name="LastSaved">
    <vt:filetime>2024-05-22T00:00:00Z</vt:filetime>
  </property>
  <property fmtid="{D5CDD505-2E9C-101B-9397-08002B2CF9AE}" pid="5" name="Producer">
    <vt:lpwstr>Microsoft® Word for Microsoft 365</vt:lpwstr>
  </property>
  <property fmtid="{D5CDD505-2E9C-101B-9397-08002B2CF9AE}" pid="6" name="ContentTypeId">
    <vt:lpwstr>0x0101007CB20DE79E89084195005F8CE1BD9EB2</vt:lpwstr>
  </property>
</Properties>
</file>